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CE05" w14:textId="77777777" w:rsidR="00617D5C" w:rsidRDefault="00617D5C" w:rsidP="00617D5C">
      <w:pPr>
        <w:spacing w:before="80" w:after="80" w:line="312" w:lineRule="auto"/>
      </w:pPr>
      <w:r>
        <w:rPr>
          <w:rFonts w:ascii="Arial" w:eastAsia="Arial" w:hAnsi="Arial" w:cs="Arial"/>
          <w:b/>
          <w:sz w:val="20"/>
          <w:szCs w:val="20"/>
        </w:rPr>
        <w:t xml:space="preserve">Materialblatt_Demokratie_13: </w:t>
      </w:r>
    </w:p>
    <w:p w14:paraId="3466520F" w14:textId="77777777" w:rsidR="00617D5C" w:rsidRDefault="00617D5C" w:rsidP="00617D5C">
      <w:pPr>
        <w:spacing w:before="80" w:after="80" w:line="312" w:lineRule="auto"/>
      </w:pPr>
      <w:r>
        <w:rPr>
          <w:rFonts w:ascii="Arial" w:eastAsia="Arial" w:hAnsi="Arial" w:cs="Arial"/>
          <w:b/>
          <w:sz w:val="22"/>
          <w:szCs w:val="22"/>
        </w:rPr>
        <w:t>Ursache und Funktionen von Vorurteilen</w:t>
      </w:r>
    </w:p>
    <w:p w14:paraId="5466E4C9" w14:textId="77777777" w:rsidR="00617D5C" w:rsidRDefault="00617D5C" w:rsidP="00617D5C">
      <w:pPr>
        <w:widowControl w:val="0"/>
      </w:pPr>
    </w:p>
    <w:p w14:paraId="0A63DCF9" w14:textId="77777777"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entstehen, damit einzelne Personen oder Gruppen ihren Vorteil daraus ziehen können.</w:t>
      </w:r>
    </w:p>
    <w:p w14:paraId="3420E9CA" w14:textId="77777777" w:rsidR="00617D5C" w:rsidRDefault="00617D5C" w:rsidP="00617D5C">
      <w:pPr>
        <w:spacing w:line="312" w:lineRule="auto"/>
        <w:jc w:val="both"/>
      </w:pPr>
    </w:p>
    <w:p w14:paraId="6DB5C019" w14:textId="77777777" w:rsidR="00617D5C" w:rsidRDefault="00617D5C" w:rsidP="00617D5C">
      <w:pPr>
        <w:spacing w:line="312" w:lineRule="auto"/>
        <w:jc w:val="both"/>
      </w:pPr>
      <w:r>
        <w:rPr>
          <w:rFonts w:ascii="Arial" w:eastAsia="Arial" w:hAnsi="Arial" w:cs="Arial"/>
          <w:b/>
          <w:sz w:val="20"/>
          <w:szCs w:val="20"/>
        </w:rPr>
        <w:t xml:space="preserve">Vorurteile </w:t>
      </w:r>
      <w:r>
        <w:rPr>
          <w:rFonts w:ascii="Arial" w:eastAsia="Arial" w:hAnsi="Arial" w:cs="Arial"/>
          <w:sz w:val="20"/>
          <w:szCs w:val="20"/>
        </w:rPr>
        <w:t xml:space="preserve">beschreiben und beurteilen verallgemeinernd Personen oder Personengruppen auf Grundlage von pauschal zugeschriebenen Eigenschaften. </w:t>
      </w:r>
    </w:p>
    <w:p w14:paraId="7097777D" w14:textId="77777777" w:rsidR="00617D5C" w:rsidRDefault="00617D5C" w:rsidP="00617D5C">
      <w:pPr>
        <w:spacing w:line="312" w:lineRule="auto"/>
        <w:jc w:val="both"/>
      </w:pPr>
    </w:p>
    <w:p w14:paraId="7DCFF2B6" w14:textId="77777777"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beruhen auf Stereotypen und Alltagsweisheiten anstatt Wissen.</w:t>
      </w:r>
    </w:p>
    <w:p w14:paraId="2D9F3D82" w14:textId="77777777" w:rsidR="00617D5C" w:rsidRDefault="00617D5C" w:rsidP="00617D5C">
      <w:pPr>
        <w:spacing w:line="312" w:lineRule="auto"/>
        <w:jc w:val="both"/>
      </w:pPr>
      <w:r>
        <w:rPr>
          <w:rFonts w:ascii="Arial" w:eastAsia="Arial" w:hAnsi="Arial" w:cs="Arial"/>
          <w:b/>
          <w:sz w:val="20"/>
          <w:szCs w:val="20"/>
        </w:rPr>
        <w:t xml:space="preserve">Vorurteile </w:t>
      </w:r>
      <w:r>
        <w:rPr>
          <w:rFonts w:ascii="Arial" w:eastAsia="Arial" w:hAnsi="Arial" w:cs="Arial"/>
          <w:sz w:val="20"/>
          <w:szCs w:val="20"/>
        </w:rPr>
        <w:t>werden ohne Überprüfung kritiklos übernommen.</w:t>
      </w:r>
    </w:p>
    <w:p w14:paraId="510774C6" w14:textId="77777777"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fördern Misstrauen gegenüber anderen Gruppen.</w:t>
      </w:r>
    </w:p>
    <w:p w14:paraId="2617B3E3" w14:textId="77777777" w:rsidR="00617D5C" w:rsidRDefault="00617D5C" w:rsidP="00617D5C">
      <w:pPr>
        <w:spacing w:line="312" w:lineRule="auto"/>
        <w:jc w:val="both"/>
      </w:pPr>
    </w:p>
    <w:p w14:paraId="765CCAC7" w14:textId="77777777"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dienen zur Abgrenzung von anderen.</w:t>
      </w:r>
    </w:p>
    <w:p w14:paraId="60DC20CA" w14:textId="77777777"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stärken die eigene Bedeutsamkeit und das Selbstwertgefühl durch die Abwertung von anderen.</w:t>
      </w:r>
    </w:p>
    <w:p w14:paraId="77E2BFD1" w14:textId="77777777" w:rsidR="00617D5C" w:rsidRDefault="00617D5C" w:rsidP="00617D5C">
      <w:pPr>
        <w:spacing w:line="312" w:lineRule="auto"/>
        <w:jc w:val="both"/>
      </w:pPr>
      <w:r>
        <w:rPr>
          <w:rFonts w:ascii="Arial" w:eastAsia="Arial" w:hAnsi="Arial" w:cs="Arial"/>
          <w:b/>
          <w:sz w:val="20"/>
          <w:szCs w:val="20"/>
        </w:rPr>
        <w:t xml:space="preserve">Vorurteile </w:t>
      </w:r>
      <w:r>
        <w:rPr>
          <w:rFonts w:ascii="Arial" w:eastAsia="Arial" w:hAnsi="Arial" w:cs="Arial"/>
          <w:sz w:val="20"/>
          <w:szCs w:val="20"/>
        </w:rPr>
        <w:t>schaffen Bindungen</w:t>
      </w:r>
      <w:r>
        <w:rPr>
          <w:rFonts w:ascii="Arial" w:eastAsia="Arial" w:hAnsi="Arial" w:cs="Arial"/>
          <w:b/>
          <w:sz w:val="20"/>
          <w:szCs w:val="20"/>
        </w:rPr>
        <w:t xml:space="preserve"> </w:t>
      </w:r>
      <w:r>
        <w:rPr>
          <w:rFonts w:ascii="Arial" w:eastAsia="Arial" w:hAnsi="Arial" w:cs="Arial"/>
          <w:sz w:val="20"/>
          <w:szCs w:val="20"/>
        </w:rPr>
        <w:t>untereinander (wir gegen die anderen).</w:t>
      </w:r>
    </w:p>
    <w:p w14:paraId="50E5BE58" w14:textId="77777777" w:rsidR="00617D5C" w:rsidRDefault="00617D5C" w:rsidP="00617D5C">
      <w:pPr>
        <w:spacing w:line="312" w:lineRule="auto"/>
        <w:jc w:val="both"/>
      </w:pPr>
      <w:r>
        <w:rPr>
          <w:rFonts w:ascii="Arial" w:eastAsia="Arial" w:hAnsi="Arial" w:cs="Arial"/>
          <w:b/>
          <w:sz w:val="20"/>
          <w:szCs w:val="20"/>
        </w:rPr>
        <w:t xml:space="preserve">Vorurteile </w:t>
      </w:r>
      <w:r>
        <w:rPr>
          <w:rFonts w:ascii="Arial" w:eastAsia="Arial" w:hAnsi="Arial" w:cs="Arial"/>
          <w:sz w:val="20"/>
          <w:szCs w:val="20"/>
        </w:rPr>
        <w:t>stärken die Zusammengehörigkeit in der eigenen Gruppe.</w:t>
      </w:r>
    </w:p>
    <w:p w14:paraId="18C414E8" w14:textId="77777777"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stärken das Vertrauen zur eigenen Gruppe.</w:t>
      </w:r>
    </w:p>
    <w:p w14:paraId="3562C114" w14:textId="77777777" w:rsidR="00617D5C" w:rsidRDefault="00617D5C" w:rsidP="00617D5C">
      <w:pPr>
        <w:spacing w:line="312" w:lineRule="auto"/>
        <w:jc w:val="both"/>
      </w:pPr>
    </w:p>
    <w:p w14:paraId="2895E9F8" w14:textId="77777777"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bieten Kontrolle und einen Bezugsrahmen für die soziale Ordnung.</w:t>
      </w:r>
    </w:p>
    <w:p w14:paraId="1A3D906F" w14:textId="77777777"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helfen beim Ausbau von Hierarchien.</w:t>
      </w:r>
    </w:p>
    <w:p w14:paraId="46DAB4C9" w14:textId="77777777" w:rsidR="00617D5C" w:rsidRDefault="00617D5C" w:rsidP="00617D5C">
      <w:pPr>
        <w:spacing w:line="312" w:lineRule="auto"/>
        <w:jc w:val="both"/>
      </w:pPr>
      <w:r>
        <w:rPr>
          <w:rFonts w:ascii="Arial" w:eastAsia="Arial" w:hAnsi="Arial" w:cs="Arial"/>
          <w:b/>
          <w:sz w:val="20"/>
          <w:szCs w:val="20"/>
        </w:rPr>
        <w:t xml:space="preserve">Vorurteile </w:t>
      </w:r>
      <w:r>
        <w:rPr>
          <w:rFonts w:ascii="Arial" w:eastAsia="Arial" w:hAnsi="Arial" w:cs="Arial"/>
          <w:sz w:val="20"/>
          <w:szCs w:val="20"/>
        </w:rPr>
        <w:t>legitimieren Hierarchien.</w:t>
      </w:r>
    </w:p>
    <w:p w14:paraId="4F566147" w14:textId="77777777"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bieten einfache Erklärungen für komplexe Situationen.</w:t>
      </w:r>
    </w:p>
    <w:p w14:paraId="3FDECDF7" w14:textId="77777777" w:rsidR="00617D5C" w:rsidRDefault="00617D5C" w:rsidP="00617D5C">
      <w:pPr>
        <w:spacing w:line="312" w:lineRule="auto"/>
        <w:jc w:val="both"/>
      </w:pPr>
      <w:r>
        <w:rPr>
          <w:rFonts w:ascii="Arial" w:eastAsia="Arial" w:hAnsi="Arial" w:cs="Arial"/>
          <w:b/>
          <w:sz w:val="20"/>
          <w:szCs w:val="20"/>
        </w:rPr>
        <w:t xml:space="preserve">Vorurteile </w:t>
      </w:r>
      <w:r>
        <w:rPr>
          <w:rFonts w:ascii="Arial" w:eastAsia="Arial" w:hAnsi="Arial" w:cs="Arial"/>
          <w:sz w:val="20"/>
          <w:szCs w:val="20"/>
        </w:rPr>
        <w:t>ermöglichen Schuldzuweisungen.</w:t>
      </w:r>
    </w:p>
    <w:p w14:paraId="61904928" w14:textId="77777777" w:rsidR="00617D5C" w:rsidRDefault="00617D5C" w:rsidP="00617D5C">
      <w:pPr>
        <w:spacing w:line="312" w:lineRule="auto"/>
        <w:jc w:val="both"/>
      </w:pPr>
    </w:p>
    <w:p w14:paraId="775367DB" w14:textId="77777777"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haben nicht nur Einfluss auf das Leben Einzelner, sondern auf das gesamtgesellschaftliche Klima.</w:t>
      </w:r>
    </w:p>
    <w:p w14:paraId="55C44514" w14:textId="77777777"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können zur öffentlichen Meinungsbildung beitragen. </w:t>
      </w:r>
    </w:p>
    <w:p w14:paraId="659AE84E" w14:textId="77777777"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führen zu Diskriminierung</w:t>
      </w:r>
    </w:p>
    <w:p w14:paraId="02CEE297" w14:textId="77777777" w:rsidR="00617D5C" w:rsidRDefault="00617D5C" w:rsidP="00617D5C">
      <w:pPr>
        <w:spacing w:line="312" w:lineRule="auto"/>
        <w:jc w:val="both"/>
      </w:pPr>
      <w:r>
        <w:rPr>
          <w:rFonts w:ascii="Arial" w:eastAsia="Arial" w:hAnsi="Arial" w:cs="Arial"/>
          <w:b/>
          <w:sz w:val="20"/>
          <w:szCs w:val="20"/>
        </w:rPr>
        <w:t>Vorurteile</w:t>
      </w:r>
      <w:r>
        <w:rPr>
          <w:rFonts w:ascii="Arial" w:eastAsia="Arial" w:hAnsi="Arial" w:cs="Arial"/>
          <w:sz w:val="20"/>
          <w:szCs w:val="20"/>
        </w:rPr>
        <w:t xml:space="preserve"> fördern Hate Crime (Hasskriminalität).</w:t>
      </w:r>
    </w:p>
    <w:p w14:paraId="55D75DB2" w14:textId="77777777" w:rsidR="00617D5C" w:rsidRDefault="00617D5C" w:rsidP="00617D5C">
      <w:pPr>
        <w:spacing w:line="312" w:lineRule="auto"/>
        <w:jc w:val="both"/>
      </w:pPr>
    </w:p>
    <w:p w14:paraId="42326143" w14:textId="77777777" w:rsidR="00617D5C" w:rsidRDefault="00617D5C" w:rsidP="00617D5C">
      <w:pPr>
        <w:spacing w:line="312" w:lineRule="auto"/>
        <w:jc w:val="both"/>
      </w:pPr>
    </w:p>
    <w:p w14:paraId="21CA31E4" w14:textId="77777777" w:rsidR="00617D5C" w:rsidRDefault="00617D5C" w:rsidP="00617D5C">
      <w:pPr>
        <w:spacing w:line="312" w:lineRule="auto"/>
        <w:jc w:val="both"/>
      </w:pPr>
      <w:r>
        <w:rPr>
          <w:rFonts w:ascii="Arial" w:eastAsia="Arial" w:hAnsi="Arial" w:cs="Arial"/>
          <w:b/>
          <w:sz w:val="20"/>
          <w:szCs w:val="20"/>
        </w:rPr>
        <w:t>Warum haben Menschen Vorurteile?</w:t>
      </w:r>
    </w:p>
    <w:p w14:paraId="64E8B68B" w14:textId="77777777" w:rsidR="00617D5C" w:rsidRDefault="00617D5C" w:rsidP="00617D5C">
      <w:pPr>
        <w:spacing w:line="312" w:lineRule="auto"/>
        <w:jc w:val="both"/>
      </w:pPr>
    </w:p>
    <w:p w14:paraId="4EAFCD9C" w14:textId="77777777" w:rsidR="00617D5C" w:rsidRDefault="00617D5C" w:rsidP="00617D5C">
      <w:pPr>
        <w:spacing w:line="312" w:lineRule="auto"/>
        <w:jc w:val="both"/>
      </w:pPr>
      <w:r>
        <w:rPr>
          <w:rFonts w:ascii="Arial" w:eastAsia="Arial" w:hAnsi="Arial" w:cs="Arial"/>
          <w:sz w:val="20"/>
          <w:szCs w:val="20"/>
        </w:rPr>
        <w:t xml:space="preserve">Vorurteile können in der Geschichte verwurzelt sein und in Gesellschaften über Generationen weitergegeben werden, aber auch aus aktuellen Anlässen entstehen. Bei der Ergründung von Vorurteilen hilft es zu überlegen, wer welches Interesse daran haben kann, sie zu verbreiten. Je nachdem, welcher Nutzen aus dem Vorurteil gezogen werden kann, erschließt sich die angesprochene Gruppe. Auch aus Unkenntnis einer Sachlage oder diffusen Ängsten entstehen Vorurteile oder zumindest die Empfänglichkeit dafür. Grundsätzlich aber muss die Bereitschaft vorhanden sein, andere als ungleichwertig zu sehen. </w:t>
      </w:r>
    </w:p>
    <w:p w14:paraId="496FAEB7" w14:textId="77777777" w:rsidR="00E27D76" w:rsidRPr="00617D5C" w:rsidRDefault="00E27D76" w:rsidP="00617D5C"/>
    <w:sectPr w:rsidR="00E27D76" w:rsidRPr="00617D5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9D5FB" w14:textId="77777777" w:rsidR="00491B6C" w:rsidRDefault="00491B6C" w:rsidP="00CF07D5">
      <w:r>
        <w:separator/>
      </w:r>
    </w:p>
  </w:endnote>
  <w:endnote w:type="continuationSeparator" w:id="0">
    <w:p w14:paraId="2F19AD36" w14:textId="77777777" w:rsidR="00491B6C" w:rsidRDefault="00491B6C"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46DE" w14:textId="03D7A75A" w:rsidR="00863366" w:rsidRDefault="00863366" w:rsidP="00863366">
    <w:pPr>
      <w:pStyle w:val="Fuzeile"/>
      <w:jc w:val="right"/>
      <w:rPr>
        <w:b/>
        <w:bCs/>
        <w:color w:val="4472C4" w:themeColor="accent5"/>
        <w:sz w:val="18"/>
        <w:szCs w:val="18"/>
      </w:rPr>
    </w:pPr>
    <w:r>
      <w:rPr>
        <w:b/>
        <w:bCs/>
        <w:noProof/>
        <w:color w:val="4472C4" w:themeColor="accent5"/>
        <w:sz w:val="18"/>
        <w:szCs w:val="18"/>
      </w:rPr>
      <w:drawing>
        <wp:inline distT="0" distB="0" distL="0" distR="0" wp14:anchorId="577D0E5B" wp14:editId="41DAD985">
          <wp:extent cx="502920" cy="396240"/>
          <wp:effectExtent l="0" t="0" r="0" b="3810"/>
          <wp:docPr id="431928560"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739CAC98" wp14:editId="1E134245">
          <wp:extent cx="716280" cy="251460"/>
          <wp:effectExtent l="0" t="0" r="7620" b="0"/>
          <wp:docPr id="1336614893"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69B5F54F" w14:textId="033BC79E" w:rsidR="00863366" w:rsidRPr="00863366" w:rsidRDefault="00863366" w:rsidP="00863366">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4472C4" w:themeColor="accent5"/>
        <w:sz w:val="18"/>
        <w:szCs w:val="18"/>
      </w:rPr>
      <w:t>Hass in der Demokratie begegnen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671F" w14:textId="77777777" w:rsidR="00491B6C" w:rsidRDefault="00491B6C" w:rsidP="00CF07D5">
      <w:r>
        <w:separator/>
      </w:r>
    </w:p>
  </w:footnote>
  <w:footnote w:type="continuationSeparator" w:id="0">
    <w:p w14:paraId="40F2A882" w14:textId="77777777" w:rsidR="00491B6C" w:rsidRDefault="00491B6C" w:rsidP="00CF0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353646649">
    <w:abstractNumId w:val="5"/>
  </w:num>
  <w:num w:numId="2" w16cid:durableId="529337036">
    <w:abstractNumId w:val="1"/>
  </w:num>
  <w:num w:numId="3" w16cid:durableId="105851311">
    <w:abstractNumId w:val="0"/>
  </w:num>
  <w:num w:numId="4" w16cid:durableId="1002395740">
    <w:abstractNumId w:val="2"/>
  </w:num>
  <w:num w:numId="5" w16cid:durableId="405495731">
    <w:abstractNumId w:val="3"/>
  </w:num>
  <w:num w:numId="6" w16cid:durableId="301424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1F"/>
    <w:rsid w:val="00215E1F"/>
    <w:rsid w:val="00272B27"/>
    <w:rsid w:val="002837A1"/>
    <w:rsid w:val="00491B6C"/>
    <w:rsid w:val="00617D5C"/>
    <w:rsid w:val="006B7736"/>
    <w:rsid w:val="00723555"/>
    <w:rsid w:val="00753657"/>
    <w:rsid w:val="00863366"/>
    <w:rsid w:val="008C2F5F"/>
    <w:rsid w:val="009D295E"/>
    <w:rsid w:val="00A13BA9"/>
    <w:rsid w:val="00B52447"/>
    <w:rsid w:val="00CF07D5"/>
    <w:rsid w:val="00E27D76"/>
    <w:rsid w:val="00ED3F4C"/>
    <w:rsid w:val="00FA009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F9FB"/>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3366"/>
    <w:pPr>
      <w:tabs>
        <w:tab w:val="center" w:pos="4513"/>
        <w:tab w:val="right" w:pos="9026"/>
      </w:tabs>
    </w:pPr>
  </w:style>
  <w:style w:type="character" w:customStyle="1" w:styleId="KopfzeileZchn">
    <w:name w:val="Kopfzeile Zchn"/>
    <w:basedOn w:val="Absatz-Standardschriftart"/>
    <w:link w:val="Kopfzeile"/>
    <w:uiPriority w:val="99"/>
    <w:rsid w:val="00863366"/>
    <w:rPr>
      <w:rFonts w:ascii="Cambria" w:eastAsia="Cambria" w:hAnsi="Cambria" w:cs="Cambria"/>
      <w:color w:val="000000"/>
      <w:sz w:val="24"/>
      <w:szCs w:val="24"/>
      <w:lang w:eastAsia="de-DE"/>
    </w:rPr>
  </w:style>
  <w:style w:type="paragraph" w:styleId="Fuzeile">
    <w:name w:val="footer"/>
    <w:basedOn w:val="Standard"/>
    <w:link w:val="FuzeileZchn"/>
    <w:uiPriority w:val="99"/>
    <w:unhideWhenUsed/>
    <w:rsid w:val="00863366"/>
    <w:pPr>
      <w:tabs>
        <w:tab w:val="center" w:pos="4513"/>
        <w:tab w:val="right" w:pos="9026"/>
      </w:tabs>
    </w:pPr>
  </w:style>
  <w:style w:type="character" w:customStyle="1" w:styleId="FuzeileZchn">
    <w:name w:val="Fußzeile Zchn"/>
    <w:basedOn w:val="Absatz-Standardschriftart"/>
    <w:link w:val="Fuzeile"/>
    <w:uiPriority w:val="99"/>
    <w:rsid w:val="00863366"/>
    <w:rPr>
      <w:rFonts w:ascii="Cambria" w:eastAsia="Cambria" w:hAnsi="Cambria" w:cs="Cambria"/>
      <w:color w:val="000000"/>
      <w:sz w:val="24"/>
      <w:szCs w:val="24"/>
      <w:lang w:eastAsia="de-DE"/>
    </w:rPr>
  </w:style>
  <w:style w:type="character" w:styleId="Hyperlink">
    <w:name w:val="Hyperlink"/>
    <w:basedOn w:val="Absatz-Standardschriftart"/>
    <w:uiPriority w:val="99"/>
    <w:semiHidden/>
    <w:unhideWhenUsed/>
    <w:rsid w:val="00863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2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2015-11-16T11:39:00Z</dcterms:created>
  <dcterms:modified xsi:type="dcterms:W3CDTF">2023-10-06T08:31:00Z</dcterms:modified>
</cp:coreProperties>
</file>